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60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05"/>
        <w:gridCol w:w="900"/>
        <w:gridCol w:w="960"/>
        <w:gridCol w:w="1035"/>
        <w:gridCol w:w="840"/>
        <w:gridCol w:w="915"/>
        <w:gridCol w:w="810"/>
        <w:gridCol w:w="810"/>
        <w:gridCol w:w="825"/>
        <w:gridCol w:w="810"/>
        <w:gridCol w:w="810"/>
        <w:gridCol w:w="810"/>
        <w:gridCol w:w="825"/>
        <w:gridCol w:w="810"/>
        <w:gridCol w:w="810"/>
        <w:gridCol w:w="810"/>
        <w:gridCol w:w="825"/>
        <w:gridCol w:w="810"/>
        <w:gridCol w:w="1575"/>
      </w:tblGrid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restart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ОТЧЕТ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ОБ ИСПОЛНЕНИИ УЧРЕЖДЕНИЕМ ПЛАНА ЕГО ФИНАНСОВО-ХОЗЯЙСТВЕННОЙ ДЕЯТЕЛЬНОСТИ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КОДЫ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по ОКУД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0503737</w:t>
            </w:r>
          </w:p>
        </w:tc>
      </w:tr>
      <w:tr>
        <w:trPr>
          <w:cantSplit/>
          <w:trHeight w:val="0" w:hRule="auto"/>
        </w:trPr>
        <w:tc>
          <w:tcPr>
            <w:tcW w:w="5565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на</w:t>
            </w: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1 января 2024 г.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01.01.2024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Учреждение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МБДОУ «Лучик» пгт Посьет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36783242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Учредитель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ОКТМО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05548000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Наименование органа, осуществля-</w:t>
            </w:r>
          </w:p>
        </w:tc>
        <w:tc>
          <w:tcPr>
            <w:tcW w:w="8235" w:type="dxa"/>
            <w:gridSpan w:val="10"/>
            <w:vMerge w:val="restart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МУНИЦИПАЛЬНОЕ КАЗЕННОЕ УЧРЕЖДЕНИЕ "УПРАВЛЕНИЕ ОБРАЗОВАНИЯ ХАСАНСКОГО МУНИЦИПАЛЬНОГО ОКРУГА"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ющего полномочия учредителя</w:t>
            </w:r>
          </w:p>
        </w:tc>
        <w:tc>
          <w:tcPr>
            <w:tcW w:w="8235" w:type="dxa"/>
            <w:gridSpan w:val="10"/>
            <w:vMerge w:val="continue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Глава по БК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Вид финансового обеспечения (деятельности)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Деятельность по выполнению государственного (муниципального) задания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Периодичность: квартальная, годовая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Единица измерения:</w:t>
            </w:r>
          </w:p>
        </w:tc>
        <w:tc>
          <w:tcPr>
            <w:tcW w:w="1035" w:type="dxa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руб.</w:t>
            </w: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ОКЕИ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383</w:t>
            </w:r>
          </w:p>
        </w:tc>
      </w:tr>
      <w:tr>
        <w:trPr>
          <w:cantSplit/>
          <w:trHeight w:val="0" w:hRule="auto"/>
        </w:trPr>
        <w:tc>
          <w:tcPr>
            <w:tcW w:w="300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7320" w:type="dxa"/>
            <w:gridSpan w:val="9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1. Доходы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32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19 257 699,86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18 719 119,85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18 719 119,85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538 580,01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от оказания платных услуг (работ), компенсаций затрат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040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19 257 699,86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18 719 119,85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18 719 119,85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538 580,01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9765" w:type="dxa"/>
            <w:gridSpan w:val="1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2. Расходы учреждения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Расходы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19 257 699,86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18 719 119,85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18 719 119,85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538 580,01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jc w:val="left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left w:val="non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12 449 169,84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12 449 169,84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12 449 169,84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Взносы по обязательному социальному страхованию на выплаты по оплате труда работников и иные выплаты работникам учреждений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119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3 721 435,64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3 721 435,64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3 721 435,64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1 032 368,56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983 106,74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983 106,74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49 261,82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2 053 179,97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1 563 861,78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1 563 861,78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489 318,19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853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1 545,85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1 545,85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1 545,85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955" w:type="dxa"/>
            <w:gridSpan w:val="11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0" w:type="dxa"/>
            <w:gridSpan w:val="7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3. Источники финансирования дефицита средств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средств - всего (стр. 520 + стр.590+ стр. 620 + стр. 700 + стр. 730 + стр. 820 + стр. 830)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Внутренние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поступление денежных средств прочие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Внешние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-18 869 962,21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-18 869 962,21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18 869 962,21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18 869 962,21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оборотам средств учреждения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расчетам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расчетов по внутренним привлечениям средств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51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8130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Произведено возвратов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А.Н. Хрущ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финансово- экономической службы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2445" w:type="dxa"/>
            <w:gridSpan w:val="3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Главный бухгалтер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Н.Г. Ярославцева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i/>
                <w:b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020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МКУ «Управление образования», ИНН 2531010346, КПП 253101001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20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(уполномоченное лицо)</w:t>
            </w: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Начальник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Е.А. Алексеева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72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tcBorders>
              <w:left w:val="none" w:sz="0" w:space="0" w:color="auto"/>
            </w:tcBorders>
            <w:shd w:val="clear" w:color="auto" w:fill="d5eeff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4"/>
                <w:szCs w:val="14"/>
              </w:rPr>
              <w:t>22 января 2024 г.</w:t>
            </w: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