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body>
    <w:tbl>
      <w:tblPr>
        <w:tblStyle w:val="TableStyle0"/>
        <w:tblW w:w="1609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105"/>
        <w:gridCol w:w="900"/>
        <w:gridCol w:w="960"/>
        <w:gridCol w:w="1035"/>
        <w:gridCol w:w="840"/>
        <w:gridCol w:w="915"/>
        <w:gridCol w:w="810"/>
        <w:gridCol w:w="810"/>
        <w:gridCol w:w="825"/>
        <w:gridCol w:w="810"/>
        <w:gridCol w:w="810"/>
        <w:gridCol w:w="810"/>
        <w:gridCol w:w="825"/>
        <w:gridCol w:w="810"/>
        <w:gridCol w:w="810"/>
        <w:gridCol w:w="810"/>
        <w:gridCol w:w="825"/>
        <w:gridCol w:w="810"/>
        <w:gridCol w:w="1575"/>
      </w:tblGrid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2780" w:type="dxa"/>
            <w:gridSpan w:val="15"/>
            <w:vMerge w:val="restart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ОТЧЕТ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ОБ ИСПОЛНЕНИИ УЧРЕЖДЕНИЕМ ПЛАНА ЕГО ФИНАНСОВО-ХОЗЯЙСТВЕННОЙ ДЕЯТЕЛЬНОСТИ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КОДЫ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2780" w:type="dxa"/>
            <w:gridSpan w:val="15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Форма по ОКУД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0503737</w:t>
            </w:r>
          </w:p>
        </w:tc>
      </w:tr>
      <w:tr>
        <w:trPr>
          <w:cantSplit/>
          <w:trHeight w:val="0" w:hRule="auto"/>
        </w:trPr>
        <w:tc>
          <w:tcPr>
            <w:tcW w:w="5565" w:type="dxa"/>
            <w:gridSpan w:val="7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на</w:t>
            </w:r>
          </w:p>
        </w:tc>
        <w:tc>
          <w:tcPr>
            <w:tcW w:w="2445" w:type="dxa"/>
            <w:gridSpan w:val="3"/>
            <w:shd w:val="clear" w:color="auto" w:fill="d5eeff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1 января 2024 г.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Дата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01.01.2024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Учреждение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МБДОУ «Лучик» пгт Посьет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ОКПО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36783242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tcBorders>
              <w:bottom w:val="non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Обособленное подразделение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Учредитель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ОКТМО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05548000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Наименование органа, осуществля-</w:t>
            </w:r>
          </w:p>
        </w:tc>
        <w:tc>
          <w:tcPr>
            <w:tcW w:w="8235" w:type="dxa"/>
            <w:gridSpan w:val="10"/>
            <w:vMerge w:val="restart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МУНИЦИПАЛЬНОЕ КАЗЕННОЕ УЧРЕЖДЕНИЕ "УПРАВЛЕНИЕ ОБРАЗОВАНИЯ ХАСАНСКОГО МУНИЦИПАЛЬНОГО ОКРУГА"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ОКПО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ющего полномочия учредителя</w:t>
            </w:r>
          </w:p>
        </w:tc>
        <w:tc>
          <w:tcPr>
            <w:tcW w:w="8235" w:type="dxa"/>
            <w:gridSpan w:val="10"/>
            <w:vMerge w:val="continue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Глава по БК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021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Вид финансового обеспечения (деятельности)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d5eeff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Приносящая доход деятельность (собственные доходы учреждения)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Периодичность: квартальная, годовая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Единица измерения:</w:t>
            </w:r>
          </w:p>
        </w:tc>
        <w:tc>
          <w:tcPr>
            <w:tcW w:w="1035" w:type="dxa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руб.</w:t>
            </w: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ОКЕИ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383</w:t>
            </w:r>
          </w:p>
        </w:tc>
      </w:tr>
      <w:tr>
        <w:trPr>
          <w:cantSplit/>
          <w:trHeight w:val="0" w:hRule="auto"/>
        </w:trPr>
        <w:tc>
          <w:tcPr>
            <w:tcW w:w="3000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7320" w:type="dxa"/>
            <w:gridSpan w:val="9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1. Доходы учреждения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3210" w:type="dxa"/>
            <w:gridSpan w:val="3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Доходы -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010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1 395 000,00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1 358 711,59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1 358 711,59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center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36 288,41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Доходы от оказания платных услуг (работ), компенсаций затрат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040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1 395 000,00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1 358 711,59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1 358 711,59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36 288,41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с.2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9765" w:type="dxa"/>
            <w:gridSpan w:val="12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2. Расходы учреждения</w:t>
            </w:r>
          </w:p>
        </w:tc>
        <w:tc>
          <w:tcPr>
            <w:tcW w:w="1575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Расходы -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1 395 000,00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1 348 068,22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1 348 068,22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46 931,78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lef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jc w:val="left"/>
            </w:pPr>
            <w:r>
              <w:rPr>
                <w:rFonts w:ascii="Arial" w:hAnsi="Arial"/>
                <w:sz w:val="16"/>
                <w:szCs w:val="16"/>
              </w:rPr>
              <w:t>в том числе:</w:t>
            </w:r>
          </w:p>
        </w:tc>
        <w:tc>
          <w:tcPr>
            <w:tcW w:w="840" w:type="dxa"/>
            <w:tcBorders>
              <w:lef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tcBorders>
              <w:left w:val="non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Прочая закупка товаров, работ и услуг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244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1 395 000,00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1 348 068,22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1 348 068,22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46 931,78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Результат исполнения  (дефицит / профицит)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450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10 643,37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10 643,37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955" w:type="dxa"/>
            <w:gridSpan w:val="11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с.3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700" w:type="dxa"/>
            <w:gridSpan w:val="7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3. Источники финансирования дефицита средств учреждения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Источники финансирования дефицита средств - всего (стр. 520 + стр.590+ стр. 620 + стр. 700 + стр. 730 + стр. 820 + стр. 830)</w:t>
            </w:r>
          </w:p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 в том числе: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-10 643,37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-10 643,37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10 643,37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Внутренние источники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из них: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990" w:type="dxa"/>
            <w:gridSpan w:val="18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&lt; Для добавления строк выделите данную область и нажмите кнопку «Добавить строку». &gt;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Движение денежных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поступление денежных средств прочие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выбытие денежных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Внешние источники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из них: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990" w:type="dxa"/>
            <w:gridSpan w:val="18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&lt; Для добавления строк выделите данную область и нажмите кнопку «Добавить строку». &gt;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700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-10 643,37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-10 643,37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10 643,37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710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bottom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-1 336 071,12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-1 336 071,12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1 325 427,75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1 325 427,75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по внутренним оборотам средств учреждения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средств учреждения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средств учреждения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по внутренним расчетам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по внутренним расчетам (Кт 030404510)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по внутренним расчетам (Дт 030404610)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с.4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расчетов по внутренним привлечениям средств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расчетов по внутреннему привлечению остатков средств (Кт 030406000)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расчетов по внутреннему привлечению остатков средств (Дт 030406000)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510" w:type="dxa"/>
            <w:gridSpan w:val="8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4. Сведения о возвратах остатков субсидий и расходов  прошлых лет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8130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Произведено возвратов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Возвращено остатков субсидий прошлых лет,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Возвращено расходов прошлых лет,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950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</w:t>
            </w: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А.Н. Хрущ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vMerge w:val="restart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 финансово- экономической службы</w:t>
            </w: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tcBorders>
              <w:top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2445" w:type="dxa"/>
            <w:gridSpan w:val="3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Главный бухгалтер</w:t>
            </w: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Н.Г. Ярославцева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tcBorders>
              <w:top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i/>
                <w:b/>
                <w:sz w:val="18"/>
                <w:szCs w:val="18"/>
              </w:rPr>
              <w:t>Централизованная бухгалтерия</w:t>
            </w:r>
          </w:p>
        </w:tc>
        <w:tc>
          <w:tcPr>
            <w:tcW w:w="4020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МКУ «Управление образования», ИНН 2531010346, КПП 253101001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020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(наименование, ОГРН, ИНН, КПП, местонахождение)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vMerge w:val="restart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 </w:t>
            </w:r>
          </w:p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(уполномоченное лицо)</w:t>
            </w:r>
          </w:p>
        </w:tc>
        <w:tc>
          <w:tcPr>
            <w:tcW w:w="163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Начальник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Е.А. Алексеева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(должность)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172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(должность)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(телефон, e-mail)</w:t>
            </w: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tcBorders>
              <w:left w:val="none" w:sz="0" w:space="0" w:color="auto"/>
            </w:tcBorders>
            <w:shd w:val="clear" w:color="auto" w:fill="d5eeff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4"/>
                <w:szCs w:val="14"/>
              </w:rPr>
              <w:t>22 января 2024 г.</w:t>
            </w: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</Relationships>
</file>